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5400675</wp:posOffset>
                </wp:positionH>
                <wp:positionV relativeFrom="page">
                  <wp:posOffset>114300</wp:posOffset>
                </wp:positionV>
                <wp:extent cx="2057400" cy="35242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9025" y="689625"/>
                          <a:ext cx="2040300" cy="3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Student Password Reset - Spanish version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5400675</wp:posOffset>
                </wp:positionH>
                <wp:positionV relativeFrom="page">
                  <wp:posOffset>114300</wp:posOffset>
                </wp:positionV>
                <wp:extent cx="2057400" cy="352425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highlight w:val="white"/>
          <w:rtl w:val="0"/>
        </w:rPr>
        <w:t xml:space="preserve">Estimados Padres:</w:t>
      </w:r>
    </w:p>
    <w:p w:rsidR="00000000" w:rsidDel="00000000" w:rsidP="00000000" w:rsidRDefault="00000000" w:rsidRPr="00000000" w14:paraId="00000002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 el fin de permitirle a su hijo(s) permanecer seguro y productivo en línea con los recursos del sitio web del Distrito estamos permitiendo la opción para que los estudiantes cambien sus propias contraseñas a través del Portal del Estudiante. </w:t>
      </w:r>
    </w:p>
    <w:p w:rsidR="00000000" w:rsidDel="00000000" w:rsidP="00000000" w:rsidRDefault="00000000" w:rsidRPr="00000000" w14:paraId="00000004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Todos los estudiantes ahora tienen un mosaico</w:t>
      </w:r>
      <w:r w:rsidDel="00000000" w:rsidR="00000000" w:rsidRPr="00000000">
        <w:rPr>
          <w:highlight w:val="white"/>
          <w:rtl w:val="0"/>
        </w:rPr>
        <w:t xml:space="preserve"> ‘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Student Password Change</w:t>
      </w:r>
      <w:r w:rsidDel="00000000" w:rsidR="00000000" w:rsidRPr="00000000">
        <w:rPr>
          <w:highlight w:val="white"/>
          <w:rtl w:val="0"/>
        </w:rPr>
        <w:t xml:space="preserve">’ en su portal. El cual puede encontrarse en la </w:t>
      </w:r>
      <w:r w:rsidDel="00000000" w:rsidR="00000000" w:rsidRPr="00000000">
        <w:rPr>
          <w:highlight w:val="white"/>
          <w:rtl w:val="0"/>
        </w:rPr>
        <w:t xml:space="preserve">línea</w:t>
      </w:r>
      <w:r w:rsidDel="00000000" w:rsidR="00000000" w:rsidRPr="00000000">
        <w:rPr>
          <w:highlight w:val="white"/>
          <w:rtl w:val="0"/>
        </w:rPr>
        <w:t xml:space="preserve"> superior </w:t>
      </w:r>
      <w:r w:rsidDel="00000000" w:rsidR="00000000" w:rsidRPr="00000000">
        <w:rPr>
          <w:i w:val="1"/>
          <w:highlight w:val="white"/>
          <w:rtl w:val="0"/>
        </w:rPr>
        <w:t xml:space="preserve">‘Default’</w:t>
      </w:r>
      <w:r w:rsidDel="00000000" w:rsidR="00000000" w:rsidRPr="00000000">
        <w:rPr>
          <w:highlight w:val="white"/>
          <w:rtl w:val="0"/>
        </w:rPr>
        <w:t xml:space="preserve"> en el portal de la página principal. Luce así: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color w:val="000066"/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1030571" cy="10429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0571" cy="104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Cualquier estudiante puede hacer clic en este mosaico para cambiar su contraseña de una manera fácil por otra nueva que ellos seleccionen</w:t>
      </w:r>
      <w:r w:rsidDel="00000000" w:rsidR="00000000" w:rsidRPr="00000000">
        <w:rPr>
          <w:highlight w:val="white"/>
          <w:rtl w:val="0"/>
        </w:rPr>
        <w:t xml:space="preserve">.  Si el profesor le ha dado una contraseña al estudiante y/o a sus padres,</w:t>
      </w:r>
      <w:r w:rsidDel="00000000" w:rsidR="00000000" w:rsidRPr="00000000">
        <w:rPr>
          <w:highlight w:val="yellow"/>
          <w:rtl w:val="0"/>
        </w:rPr>
        <w:t xml:space="preserve"> se recomienda cambiar la contraseña utilizando este nuevo mosaico del portal</w:t>
      </w:r>
      <w:r w:rsidDel="00000000" w:rsidR="00000000" w:rsidRPr="00000000">
        <w:rPr>
          <w:highlight w:val="white"/>
          <w:rtl w:val="0"/>
        </w:rPr>
        <w:t xml:space="preserve">.  Por razones de seguridad, siempre es mejor que cada estudiante cree y use una contraseña única que solamente el estudiante y/o los padres la conozcan.</w:t>
      </w:r>
    </w:p>
    <w:p w:rsidR="00000000" w:rsidDel="00000000" w:rsidP="00000000" w:rsidRDefault="00000000" w:rsidRPr="00000000" w14:paraId="00000008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>
          <w:highlight w:val="white"/>
          <w:u w:val="singl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Hagan clic en este enlace para obtener instrucciones paso por paso de cómo su hijo puede cambiar su contraseña.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66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NOTA:  Si/Cuando un estudiante olvide su contraseña, el profesor puede restablecerla a la contraseña predeterminada a través del mosaico ‘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Student Password Reset</w:t>
      </w:r>
      <w:r w:rsidDel="00000000" w:rsidR="00000000" w:rsidRPr="00000000">
        <w:rPr>
          <w:highlight w:val="white"/>
          <w:rtl w:val="0"/>
        </w:rPr>
        <w:t xml:space="preserve">’ en el portal.</w:t>
      </w:r>
      <w:r w:rsidDel="00000000" w:rsidR="00000000" w:rsidRPr="00000000">
        <w:rPr>
          <w:color w:val="00006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-428624</wp:posOffset>
                </wp:positionH>
                <wp:positionV relativeFrom="paragraph">
                  <wp:posOffset>19050</wp:posOffset>
                </wp:positionV>
                <wp:extent cx="6610350" cy="28098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21165" y="3659350"/>
                          <a:ext cx="62496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-1440" w:right="-1440" w:firstLine="-14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The Department of Multicultural Education Spanish Translation Team certifies that this is a true and faithful translation of the original document. (561) 434-8620 –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May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 2020 – SY20-1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173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-1440" w:right="-1440" w:firstLine="-14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-428624</wp:posOffset>
                </wp:positionH>
                <wp:positionV relativeFrom="paragraph">
                  <wp:posOffset>19050</wp:posOffset>
                </wp:positionV>
                <wp:extent cx="6610350" cy="28098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80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color w:val="000066"/>
          <w:highlight w:val="white"/>
        </w:rPr>
      </w:pPr>
      <w:r w:rsidDel="00000000" w:rsidR="00000000" w:rsidRPr="00000000">
        <w:rPr>
          <w:color w:val="00006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6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tkrLmHO6jCh6Yfm7TE2I0msN1b-olV0zQoCcVHXgKn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